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30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北京工商大学金融与风险管理微专业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招生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简章</w:t>
      </w:r>
      <w:bookmarkStart w:id="0" w:name="_GoBack"/>
      <w:bookmarkEnd w:id="0"/>
    </w:p>
    <w:p w14:paraId="03236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一、专业简介</w:t>
      </w:r>
    </w:p>
    <w:p w14:paraId="30E52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专业名称：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金融与风险管理</w:t>
      </w:r>
    </w:p>
    <w:p w14:paraId="61BC0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学    制：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三个学期</w:t>
      </w:r>
    </w:p>
    <w:p w14:paraId="6F4D0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专业简介：</w:t>
      </w:r>
    </w:p>
    <w:p w14:paraId="3A8F4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金融与风险管理微专业依托于经济学院金融学、金融工程、金融科技和保险学四个专业，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专业发展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各有侧重，明确金融学专业以“量化投资”为特色，金融工程专业以“金融大数据分析”为特色，金融科技专业以“金融+人工智能”为特色，保险学以“风险管理新技术”等为载体，进行专业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建设和升级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。师资力量雄厚，人才培养效果突出。其中，金融学专业于2019年入选教育部“双万计划”国家级一流专业和北京高校“重点建设”一流专业；金融工程专业于2022年入选教育部“双万计划”国家级一流专业；保险学于2021年获批北京市一流本科专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应用经济学科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2018年获批一级学科博士学位授权点，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2019年获批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博士后科研流动站和北京高校高精尖学科建设项目。</w:t>
      </w:r>
    </w:p>
    <w:p w14:paraId="312BD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二、培养目标</w:t>
      </w:r>
    </w:p>
    <w:p w14:paraId="71C6C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本专业旨在培养学生具备健全人格和良好科学文化素养，具有正确的职业道德、社会责任感和较强的创新潜力；既掌握扎实的经济、金融保险理论基础，又了解金融运作和金融市场的基本知识与基本技能;熟悉国内外金融规则和现代金融业务操作；掌握现代经济分析方法；能够解决现代经济、特别是金融保险领域实际问题的复合型金融专业人才。本专业培养满足我国金融混业经营需要，学生毕业后可参与到金融监管部门、社会保障部门、银行、保险、证券公司等金融机构以及企业投融资、风险管理等部门的相关工作。</w:t>
      </w:r>
    </w:p>
    <w:p w14:paraId="1ADE8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三、招生对象及条件</w:t>
      </w:r>
    </w:p>
    <w:p w14:paraId="32DEA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面向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非金融学、金融工程、金融科技、保险学专业的大二全日制本科生，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期招生计划为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人，择优录取。</w:t>
      </w:r>
    </w:p>
    <w:p w14:paraId="2371C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报名条件：</w:t>
      </w:r>
    </w:p>
    <w:p w14:paraId="6043C6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5" w:leftChars="0" w:firstLine="215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具有优秀的道德品质、健康的心理素质和强烈的家国情怀。</w:t>
      </w:r>
    </w:p>
    <w:p w14:paraId="233001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5" w:leftChars="0" w:firstLine="215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具有良好的学习能力，尤其是对金融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学科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有较强的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学习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兴趣。</w:t>
      </w:r>
    </w:p>
    <w:p w14:paraId="03C855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5" w:leftChars="0" w:firstLine="215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在校期间无不及格课程，绩点2.5以上。</w:t>
      </w:r>
    </w:p>
    <w:p w14:paraId="542987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5" w:leftChars="0" w:firstLine="215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完成数学类课程且成绩合格者优先。</w:t>
      </w:r>
    </w:p>
    <w:p w14:paraId="28955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四、学习安排</w:t>
      </w:r>
    </w:p>
    <w:p w14:paraId="1F0CE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本微专业的课程分别设置在三个学期，第一学期安排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个学分的课程，主要为金融学的基础课程包括经济学原理、金融学、风险管理与保险学。第二学期安排6个学分的课程，包括金融机构经营管理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金融衍生工具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智能风险管理。第三学期安排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个学分的课程，包括保险精算学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风险管理前沿讲座。</w:t>
      </w:r>
    </w:p>
    <w:p w14:paraId="4B62AA63">
      <w:pPr>
        <w:widowControl/>
        <w:spacing w:before="156" w:beforeLines="50" w:after="93" w:afterLines="30"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金融与风险管理微专业教学计划表</w:t>
      </w:r>
    </w:p>
    <w:tbl>
      <w:tblPr>
        <w:tblStyle w:val="3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975"/>
        <w:gridCol w:w="966"/>
        <w:gridCol w:w="1155"/>
        <w:gridCol w:w="795"/>
        <w:gridCol w:w="810"/>
        <w:gridCol w:w="1410"/>
        <w:gridCol w:w="774"/>
      </w:tblGrid>
      <w:tr w14:paraId="7C71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133" w:type="dxa"/>
            <w:vAlign w:val="center"/>
          </w:tcPr>
          <w:p w14:paraId="045C7D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 w14:paraId="289EA5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学分</w:t>
            </w:r>
          </w:p>
        </w:tc>
        <w:tc>
          <w:tcPr>
            <w:tcW w:w="966" w:type="dxa"/>
            <w:vAlign w:val="center"/>
          </w:tcPr>
          <w:p w14:paraId="3A679FD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总学时</w:t>
            </w:r>
          </w:p>
        </w:tc>
        <w:tc>
          <w:tcPr>
            <w:tcW w:w="1155" w:type="dxa"/>
            <w:vAlign w:val="center"/>
          </w:tcPr>
          <w:p w14:paraId="0A65574E">
            <w:pPr>
              <w:widowControl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实验实践学时</w:t>
            </w:r>
          </w:p>
        </w:tc>
        <w:tc>
          <w:tcPr>
            <w:tcW w:w="795" w:type="dxa"/>
            <w:vAlign w:val="center"/>
          </w:tcPr>
          <w:p w14:paraId="67AB999F">
            <w:pPr>
              <w:widowControl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课程性质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 w14:paraId="776301D4">
            <w:pPr>
              <w:widowControl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考核方式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570EBA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0"/>
                <w:sz w:val="20"/>
                <w:szCs w:val="20"/>
              </w:rPr>
              <w:t>开课单位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vAlign w:val="center"/>
          </w:tcPr>
          <w:p w14:paraId="7B198D8D">
            <w:pPr>
              <w:widowControl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开课学期</w:t>
            </w:r>
          </w:p>
        </w:tc>
      </w:tr>
      <w:tr w14:paraId="0F9D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3" w:type="dxa"/>
            <w:vAlign w:val="center"/>
          </w:tcPr>
          <w:p w14:paraId="7306884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经济学原理</w:t>
            </w:r>
          </w:p>
        </w:tc>
        <w:tc>
          <w:tcPr>
            <w:tcW w:w="975" w:type="dxa"/>
            <w:vAlign w:val="center"/>
          </w:tcPr>
          <w:p w14:paraId="23369F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2</w:t>
            </w:r>
          </w:p>
        </w:tc>
        <w:tc>
          <w:tcPr>
            <w:tcW w:w="966" w:type="dxa"/>
            <w:vAlign w:val="center"/>
          </w:tcPr>
          <w:p w14:paraId="7B00AB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32</w:t>
            </w:r>
          </w:p>
        </w:tc>
        <w:tc>
          <w:tcPr>
            <w:tcW w:w="1155" w:type="dxa"/>
            <w:vAlign w:val="center"/>
          </w:tcPr>
          <w:p w14:paraId="1B6537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7A64AB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必修</w:t>
            </w:r>
          </w:p>
        </w:tc>
        <w:tc>
          <w:tcPr>
            <w:tcW w:w="810" w:type="dxa"/>
            <w:vAlign w:val="center"/>
          </w:tcPr>
          <w:p w14:paraId="511BC4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考试</w:t>
            </w:r>
          </w:p>
        </w:tc>
        <w:tc>
          <w:tcPr>
            <w:tcW w:w="1410" w:type="dxa"/>
            <w:vAlign w:val="center"/>
          </w:tcPr>
          <w:p w14:paraId="2F01F4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51F6B8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1</w:t>
            </w:r>
          </w:p>
        </w:tc>
      </w:tr>
      <w:tr w14:paraId="4412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3" w:type="dxa"/>
            <w:vAlign w:val="center"/>
          </w:tcPr>
          <w:p w14:paraId="172A6D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金融学</w:t>
            </w:r>
          </w:p>
        </w:tc>
        <w:tc>
          <w:tcPr>
            <w:tcW w:w="975" w:type="dxa"/>
            <w:vAlign w:val="center"/>
          </w:tcPr>
          <w:p w14:paraId="6540D0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2</w:t>
            </w:r>
          </w:p>
        </w:tc>
        <w:tc>
          <w:tcPr>
            <w:tcW w:w="966" w:type="dxa"/>
            <w:vAlign w:val="center"/>
          </w:tcPr>
          <w:p w14:paraId="627138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32</w:t>
            </w:r>
          </w:p>
        </w:tc>
        <w:tc>
          <w:tcPr>
            <w:tcW w:w="1155" w:type="dxa"/>
            <w:vAlign w:val="center"/>
          </w:tcPr>
          <w:p w14:paraId="5A35AA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vAlign w:val="center"/>
          </w:tcPr>
          <w:p w14:paraId="55017E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必修</w:t>
            </w:r>
          </w:p>
        </w:tc>
        <w:tc>
          <w:tcPr>
            <w:tcW w:w="810" w:type="dxa"/>
            <w:vAlign w:val="center"/>
          </w:tcPr>
          <w:p w14:paraId="1AC2C37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考试</w:t>
            </w:r>
          </w:p>
        </w:tc>
        <w:tc>
          <w:tcPr>
            <w:tcW w:w="1410" w:type="dxa"/>
            <w:vAlign w:val="center"/>
          </w:tcPr>
          <w:p w14:paraId="5C7980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2E1EF7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1</w:t>
            </w:r>
          </w:p>
        </w:tc>
      </w:tr>
      <w:tr w14:paraId="757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3" w:type="dxa"/>
            <w:vAlign w:val="center"/>
          </w:tcPr>
          <w:p w14:paraId="5FD191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风险管理与保险学</w:t>
            </w:r>
          </w:p>
        </w:tc>
        <w:tc>
          <w:tcPr>
            <w:tcW w:w="975" w:type="dxa"/>
            <w:vAlign w:val="center"/>
          </w:tcPr>
          <w:p w14:paraId="7923C6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2</w:t>
            </w:r>
          </w:p>
        </w:tc>
        <w:tc>
          <w:tcPr>
            <w:tcW w:w="966" w:type="dxa"/>
            <w:vAlign w:val="center"/>
          </w:tcPr>
          <w:p w14:paraId="11FA09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32</w:t>
            </w:r>
          </w:p>
        </w:tc>
        <w:tc>
          <w:tcPr>
            <w:tcW w:w="1155" w:type="dxa"/>
            <w:vAlign w:val="center"/>
          </w:tcPr>
          <w:p w14:paraId="60B00B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7E2735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必修</w:t>
            </w:r>
          </w:p>
        </w:tc>
        <w:tc>
          <w:tcPr>
            <w:tcW w:w="810" w:type="dxa"/>
            <w:vAlign w:val="center"/>
          </w:tcPr>
          <w:p w14:paraId="091B4F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考试</w:t>
            </w:r>
          </w:p>
        </w:tc>
        <w:tc>
          <w:tcPr>
            <w:tcW w:w="1410" w:type="dxa"/>
            <w:vAlign w:val="center"/>
          </w:tcPr>
          <w:p w14:paraId="0AD992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6C336D4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1</w:t>
            </w:r>
          </w:p>
        </w:tc>
      </w:tr>
      <w:tr w14:paraId="7B7A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3" w:type="dxa"/>
            <w:vAlign w:val="center"/>
          </w:tcPr>
          <w:p w14:paraId="5889CB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金融机构经营管理</w:t>
            </w:r>
          </w:p>
        </w:tc>
        <w:tc>
          <w:tcPr>
            <w:tcW w:w="975" w:type="dxa"/>
            <w:vAlign w:val="center"/>
          </w:tcPr>
          <w:p w14:paraId="158BDB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2</w:t>
            </w:r>
          </w:p>
        </w:tc>
        <w:tc>
          <w:tcPr>
            <w:tcW w:w="966" w:type="dxa"/>
            <w:vAlign w:val="center"/>
          </w:tcPr>
          <w:p w14:paraId="5E73119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32</w:t>
            </w:r>
          </w:p>
        </w:tc>
        <w:tc>
          <w:tcPr>
            <w:tcW w:w="1155" w:type="dxa"/>
            <w:vAlign w:val="center"/>
          </w:tcPr>
          <w:p w14:paraId="381A67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13966E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必修</w:t>
            </w:r>
          </w:p>
        </w:tc>
        <w:tc>
          <w:tcPr>
            <w:tcW w:w="810" w:type="dxa"/>
            <w:vAlign w:val="center"/>
          </w:tcPr>
          <w:p w14:paraId="134524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考试</w:t>
            </w:r>
          </w:p>
        </w:tc>
        <w:tc>
          <w:tcPr>
            <w:tcW w:w="1410" w:type="dxa"/>
            <w:vAlign w:val="center"/>
          </w:tcPr>
          <w:p w14:paraId="2F68C1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5F5947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  <w:lang w:val="en-US" w:eastAsia="zh-CN"/>
              </w:rPr>
              <w:t>2</w:t>
            </w:r>
          </w:p>
        </w:tc>
      </w:tr>
      <w:tr w14:paraId="0942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3" w:type="dxa"/>
            <w:vAlign w:val="center"/>
          </w:tcPr>
          <w:p w14:paraId="10E6ED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金融衍生工具</w:t>
            </w:r>
          </w:p>
        </w:tc>
        <w:tc>
          <w:tcPr>
            <w:tcW w:w="975" w:type="dxa"/>
            <w:vAlign w:val="center"/>
          </w:tcPr>
          <w:p w14:paraId="000976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2</w:t>
            </w:r>
          </w:p>
        </w:tc>
        <w:tc>
          <w:tcPr>
            <w:tcW w:w="966" w:type="dxa"/>
            <w:vAlign w:val="center"/>
          </w:tcPr>
          <w:p w14:paraId="313B54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16</w:t>
            </w:r>
          </w:p>
        </w:tc>
        <w:tc>
          <w:tcPr>
            <w:tcW w:w="1155" w:type="dxa"/>
            <w:vAlign w:val="center"/>
          </w:tcPr>
          <w:p w14:paraId="39A1BB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4493B9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必修</w:t>
            </w:r>
          </w:p>
        </w:tc>
        <w:tc>
          <w:tcPr>
            <w:tcW w:w="810" w:type="dxa"/>
            <w:vAlign w:val="center"/>
          </w:tcPr>
          <w:p w14:paraId="6B3BC1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考试</w:t>
            </w:r>
          </w:p>
        </w:tc>
        <w:tc>
          <w:tcPr>
            <w:tcW w:w="1410" w:type="dxa"/>
            <w:vAlign w:val="center"/>
          </w:tcPr>
          <w:p w14:paraId="7888E2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2ACD6D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2</w:t>
            </w:r>
          </w:p>
        </w:tc>
      </w:tr>
      <w:tr w14:paraId="2AF5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3" w:type="dxa"/>
            <w:vAlign w:val="center"/>
          </w:tcPr>
          <w:p w14:paraId="292F5A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智能风险管理</w:t>
            </w:r>
          </w:p>
        </w:tc>
        <w:tc>
          <w:tcPr>
            <w:tcW w:w="975" w:type="dxa"/>
            <w:vAlign w:val="center"/>
          </w:tcPr>
          <w:p w14:paraId="3B06A1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2</w:t>
            </w:r>
          </w:p>
        </w:tc>
        <w:tc>
          <w:tcPr>
            <w:tcW w:w="966" w:type="dxa"/>
            <w:vAlign w:val="center"/>
          </w:tcPr>
          <w:p w14:paraId="7B1D43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16</w:t>
            </w:r>
          </w:p>
        </w:tc>
        <w:tc>
          <w:tcPr>
            <w:tcW w:w="1155" w:type="dxa"/>
            <w:vAlign w:val="center"/>
          </w:tcPr>
          <w:p w14:paraId="50DE24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50DCF6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必修</w:t>
            </w:r>
          </w:p>
        </w:tc>
        <w:tc>
          <w:tcPr>
            <w:tcW w:w="810" w:type="dxa"/>
            <w:vAlign w:val="center"/>
          </w:tcPr>
          <w:p w14:paraId="7C616F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考试</w:t>
            </w:r>
          </w:p>
        </w:tc>
        <w:tc>
          <w:tcPr>
            <w:tcW w:w="1410" w:type="dxa"/>
            <w:vAlign w:val="center"/>
          </w:tcPr>
          <w:p w14:paraId="61013F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5C8F2D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  <w:lang w:val="en-US" w:eastAsia="zh-CN"/>
              </w:rPr>
              <w:t>2</w:t>
            </w:r>
          </w:p>
        </w:tc>
      </w:tr>
      <w:tr w14:paraId="515A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3" w:type="dxa"/>
            <w:vAlign w:val="center"/>
          </w:tcPr>
          <w:p w14:paraId="4EEB62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保险精算学</w:t>
            </w:r>
          </w:p>
        </w:tc>
        <w:tc>
          <w:tcPr>
            <w:tcW w:w="975" w:type="dxa"/>
            <w:vAlign w:val="center"/>
          </w:tcPr>
          <w:p w14:paraId="1FCC6F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2</w:t>
            </w:r>
          </w:p>
        </w:tc>
        <w:tc>
          <w:tcPr>
            <w:tcW w:w="966" w:type="dxa"/>
            <w:vAlign w:val="center"/>
          </w:tcPr>
          <w:p w14:paraId="4DC355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16</w:t>
            </w:r>
          </w:p>
        </w:tc>
        <w:tc>
          <w:tcPr>
            <w:tcW w:w="1155" w:type="dxa"/>
            <w:vAlign w:val="center"/>
          </w:tcPr>
          <w:p w14:paraId="2EA4B0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8</w:t>
            </w:r>
          </w:p>
        </w:tc>
        <w:tc>
          <w:tcPr>
            <w:tcW w:w="795" w:type="dxa"/>
            <w:vAlign w:val="center"/>
          </w:tcPr>
          <w:p w14:paraId="142698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必修</w:t>
            </w:r>
          </w:p>
        </w:tc>
        <w:tc>
          <w:tcPr>
            <w:tcW w:w="810" w:type="dxa"/>
            <w:vAlign w:val="center"/>
          </w:tcPr>
          <w:p w14:paraId="3C30D1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考试</w:t>
            </w:r>
          </w:p>
        </w:tc>
        <w:tc>
          <w:tcPr>
            <w:tcW w:w="1410" w:type="dxa"/>
            <w:vAlign w:val="center"/>
          </w:tcPr>
          <w:p w14:paraId="6F39C5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7C1A5E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3</w:t>
            </w:r>
          </w:p>
        </w:tc>
      </w:tr>
      <w:tr w14:paraId="5F28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3" w:type="dxa"/>
            <w:vAlign w:val="center"/>
          </w:tcPr>
          <w:p w14:paraId="5EC9C7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风险管理前沿讲座</w:t>
            </w:r>
          </w:p>
        </w:tc>
        <w:tc>
          <w:tcPr>
            <w:tcW w:w="975" w:type="dxa"/>
            <w:vAlign w:val="center"/>
          </w:tcPr>
          <w:p w14:paraId="595392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2</w:t>
            </w:r>
          </w:p>
        </w:tc>
        <w:tc>
          <w:tcPr>
            <w:tcW w:w="966" w:type="dxa"/>
            <w:vAlign w:val="center"/>
          </w:tcPr>
          <w:p w14:paraId="62AB747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16</w:t>
            </w:r>
          </w:p>
        </w:tc>
        <w:tc>
          <w:tcPr>
            <w:tcW w:w="1155" w:type="dxa"/>
            <w:vAlign w:val="center"/>
          </w:tcPr>
          <w:p w14:paraId="30698A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189F6A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必修</w:t>
            </w:r>
          </w:p>
        </w:tc>
        <w:tc>
          <w:tcPr>
            <w:tcW w:w="810" w:type="dxa"/>
            <w:vAlign w:val="center"/>
          </w:tcPr>
          <w:p w14:paraId="34D0BC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考核</w:t>
            </w:r>
          </w:p>
        </w:tc>
        <w:tc>
          <w:tcPr>
            <w:tcW w:w="1410" w:type="dxa"/>
            <w:vAlign w:val="center"/>
          </w:tcPr>
          <w:p w14:paraId="31F4D4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4E9EF7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</w:rPr>
              <w:t>3</w:t>
            </w:r>
          </w:p>
        </w:tc>
      </w:tr>
      <w:tr w14:paraId="480B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29" w:type="dxa"/>
            <w:gridSpan w:val="4"/>
            <w:vAlign w:val="center"/>
          </w:tcPr>
          <w:p w14:paraId="407724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颁发微专业结业证书学分要求</w:t>
            </w:r>
          </w:p>
        </w:tc>
        <w:tc>
          <w:tcPr>
            <w:tcW w:w="3789" w:type="dxa"/>
            <w:gridSpan w:val="4"/>
            <w:vAlign w:val="center"/>
          </w:tcPr>
          <w:p w14:paraId="5E4D3F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16</w:t>
            </w:r>
          </w:p>
        </w:tc>
      </w:tr>
    </w:tbl>
    <w:p w14:paraId="04E10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 w14:paraId="6A973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五、结业条件</w:t>
      </w:r>
    </w:p>
    <w:p w14:paraId="647848DF">
      <w:pPr>
        <w:spacing w:line="480" w:lineRule="auto"/>
        <w:ind w:firstLine="44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学生修完培养方案的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门课程并通过考试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考核）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，获得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学分,经所在学院审核后，报教务处审定，由学校颁发微专业证书，未修满微专业培养方案规定全部学分者，不颁发证书。</w:t>
      </w:r>
    </w:p>
    <w:p w14:paraId="1784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六、报名方式及咨询电话</w:t>
      </w:r>
    </w:p>
    <w:p w14:paraId="3998E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</w:rPr>
        <w:t>1.报名方式：申请修读微专业的学生填写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highlight w:val="none"/>
          <w:lang w:val="en-US" w:eastAsia="zh-CN"/>
        </w:rPr>
        <w:t>附件1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highlight w:val="none"/>
        </w:rPr>
        <w:t>《北京工商大学微专业申请表》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  <w:lang w:val="en-US" w:eastAsia="zh-CN"/>
        </w:rPr>
        <w:t>纸质版</w:t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</w:rPr>
        <w:t>提交到</w:t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  <w:lang w:val="en-US" w:eastAsia="zh-CN"/>
        </w:rPr>
        <w:t>经济</w:t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</w:rPr>
        <w:t>学院</w:t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  <w:lang w:val="en-US" w:eastAsia="zh-CN"/>
        </w:rPr>
        <w:t>教务办公室221，电子版发至邮箱jwbgs221@163.com</w:t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</w:rPr>
        <w:t>。</w:t>
      </w:r>
    </w:p>
    <w:p w14:paraId="73926C4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1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2.报名时间：2025年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月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日至2025年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月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日</w:t>
      </w:r>
    </w:p>
    <w:p w14:paraId="3DD121E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1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3.咨询电话：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010-81353160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咨询邮箱：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instrText xml:space="preserve"> HYPERLINK "mailto:lifei@th.btbu.edu.cn" </w:instrTex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sz w:val="22"/>
          <w:szCs w:val="22"/>
        </w:rPr>
        <w:t>lifei@th.btbu.edu.cn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fldChar w:fldCharType="end"/>
      </w:r>
    </w:p>
    <w:p w14:paraId="3100930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1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联系人：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李飞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</w:t>
      </w:r>
    </w:p>
    <w:p w14:paraId="3FDD9DF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1"/>
        <w:jc w:val="center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drawing>
          <wp:inline distT="0" distB="0" distL="114300" distR="114300">
            <wp:extent cx="2103755" cy="2545080"/>
            <wp:effectExtent l="0" t="0" r="12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298EF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欢迎扫码进群咨询！</w:t>
      </w:r>
    </w:p>
    <w:p w14:paraId="5372BD63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 w14:paraId="18D47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七、其他</w:t>
      </w:r>
    </w:p>
    <w:p w14:paraId="7B276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各项事宜均遵照《北京工商大学微专业建设管理办法》文件要求。</w:t>
      </w:r>
    </w:p>
    <w:p w14:paraId="7AF4115D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经济学院</w:t>
      </w:r>
    </w:p>
    <w:p w14:paraId="4AFBA56D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2025年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日</w:t>
      </w:r>
    </w:p>
    <w:p w14:paraId="13C51D07">
      <w:pPr>
        <w:spacing w:line="48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74A37324">
      <w:pPr>
        <w:spacing w:line="48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37A7C92C">
      <w:pPr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附件1：</w:t>
      </w:r>
    </w:p>
    <w:p w14:paraId="3ADD6F8E">
      <w:pPr>
        <w:spacing w:line="360" w:lineRule="auto"/>
        <w:jc w:val="center"/>
        <w:rPr>
          <w:rFonts w:hint="eastAsia" w:ascii="方正小标宋简体" w:hAnsi="黑体" w:eastAsia="方正小标宋简体" w:cs="黑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北京工商大学修读微专业报名表</w:t>
      </w:r>
    </w:p>
    <w:tbl>
      <w:tblPr>
        <w:tblStyle w:val="3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50"/>
        <w:gridCol w:w="709"/>
        <w:gridCol w:w="992"/>
        <w:gridCol w:w="708"/>
        <w:gridCol w:w="852"/>
        <w:gridCol w:w="568"/>
        <w:gridCol w:w="2484"/>
      </w:tblGrid>
      <w:tr w14:paraId="08D72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7ADE"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F8027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4020E"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F9B2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0906B"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143DF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5842C">
            <w:pPr>
              <w:jc w:val="center"/>
              <w:rPr>
                <w:rFonts w:hint="eastAsia" w:ascii="宋体" w:hAnsi="宋体" w:eastAsia="PMingLiU"/>
                <w:sz w:val="24"/>
                <w:lang w:val="zh-TW" w:eastAsia="zh-TW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近期</w:t>
            </w:r>
            <w:r>
              <w:rPr>
                <w:rFonts w:hint="eastAsia" w:ascii="宋体" w:hAnsi="宋体"/>
                <w:sz w:val="24"/>
                <w:lang w:val="zh-TW"/>
              </w:rPr>
              <w:t>2寸</w:t>
            </w:r>
            <w:r>
              <w:rPr>
                <w:rFonts w:ascii="宋体" w:hAnsi="宋体"/>
                <w:sz w:val="24"/>
                <w:lang w:val="zh-TW" w:eastAsia="zh-TW"/>
              </w:rPr>
              <w:t>照片</w:t>
            </w:r>
          </w:p>
          <w:p w14:paraId="70BC74BB">
            <w:pPr>
              <w:jc w:val="center"/>
              <w:rPr>
                <w:rFonts w:hint="eastAsia" w:ascii="宋体" w:hAnsi="宋体" w:eastAsia="等线"/>
                <w:sz w:val="24"/>
                <w:lang w:val="zh-TW"/>
              </w:rPr>
            </w:pPr>
            <w:r>
              <w:rPr>
                <w:rFonts w:hint="eastAsia" w:ascii="宋体" w:hAnsi="宋体" w:eastAsia="等线"/>
                <w:sz w:val="24"/>
                <w:lang w:val="zh-TW"/>
              </w:rPr>
              <w:t>（电子版5</w:t>
            </w:r>
            <w:r>
              <w:rPr>
                <w:rFonts w:ascii="宋体" w:hAnsi="宋体" w:eastAsia="PMingLiU"/>
                <w:sz w:val="24"/>
                <w:lang w:val="zh-TW" w:eastAsia="zh-TW"/>
              </w:rPr>
              <w:t>00</w:t>
            </w:r>
            <w:r>
              <w:rPr>
                <w:rFonts w:hint="eastAsia" w:asciiTheme="minorEastAsia" w:hAnsiTheme="minorEastAsia"/>
                <w:sz w:val="24"/>
                <w:lang w:val="zh-TW" w:eastAsia="zh-TW"/>
              </w:rPr>
              <w:t>K</w:t>
            </w:r>
            <w:r>
              <w:rPr>
                <w:rFonts w:hint="eastAsia" w:asciiTheme="minorEastAsia" w:hAnsiTheme="minorEastAsia"/>
                <w:sz w:val="24"/>
                <w:lang w:val="zh-TW"/>
              </w:rPr>
              <w:t>b</w:t>
            </w:r>
            <w:r>
              <w:rPr>
                <w:rFonts w:hint="eastAsia" w:asciiTheme="minorEastAsia" w:hAnsiTheme="minorEastAsia"/>
                <w:sz w:val="24"/>
                <w:lang w:val="zh-TW" w:eastAsia="zh-TW"/>
              </w:rPr>
              <w:t>以内</w:t>
            </w:r>
            <w:r>
              <w:rPr>
                <w:rFonts w:hint="eastAsia" w:ascii="宋体" w:hAnsi="宋体" w:eastAsia="等线"/>
                <w:sz w:val="24"/>
                <w:lang w:val="zh-TW"/>
              </w:rPr>
              <w:t>）</w:t>
            </w:r>
          </w:p>
        </w:tc>
      </w:tr>
      <w:tr w14:paraId="12EC1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696DC">
            <w:pPr>
              <w:spacing w:before="60" w:after="60"/>
              <w:jc w:val="center"/>
              <w:rPr>
                <w:rFonts w:hint="eastAsia" w:ascii="宋体" w:hAnsi="宋体" w:eastAsia="PMingLiU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648F2">
            <w:pPr>
              <w:spacing w:before="60" w:after="60"/>
              <w:jc w:val="center"/>
              <w:rPr>
                <w:rFonts w:hint="eastAsia"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92947"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7FEE">
            <w:pPr>
              <w:spacing w:before="60" w:after="60"/>
              <w:jc w:val="center"/>
              <w:rPr>
                <w:rFonts w:hint="eastAsia" w:ascii="宋体" w:hAnsi="宋体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55A0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2BC9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40B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C54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DEF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绩点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9EC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F999A2D">
            <w:pPr>
              <w:rPr>
                <w:rFonts w:hint="eastAsia" w:ascii="宋体" w:hAnsi="宋体"/>
                <w:sz w:val="24"/>
              </w:rPr>
            </w:pPr>
          </w:p>
        </w:tc>
      </w:tr>
      <w:tr w14:paraId="021E9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435B8"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申请修读微专业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DB58E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AB6AA"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所在专业排名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9E8CCC">
            <w:pPr>
              <w:spacing w:before="60" w:after="6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例：1/50</w:t>
            </w: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8C3D75">
            <w:pPr>
              <w:rPr>
                <w:rFonts w:hint="eastAsia" w:ascii="宋体" w:hAnsi="宋体"/>
                <w:sz w:val="24"/>
              </w:rPr>
            </w:pPr>
          </w:p>
        </w:tc>
      </w:tr>
      <w:tr w14:paraId="3D98C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288F9"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D9EF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8208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C3C63C">
            <w:pPr>
              <w:jc w:val="center"/>
              <w:rPr>
                <w:rFonts w:hint="eastAsia" w:ascii="宋体" w:hAnsi="宋体"/>
              </w:rPr>
            </w:pPr>
          </w:p>
        </w:tc>
      </w:tr>
      <w:tr w14:paraId="452BE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3FE8F"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修读微专业</w:t>
            </w:r>
            <w:r>
              <w:rPr>
                <w:rFonts w:ascii="宋体" w:hAnsi="宋体"/>
                <w:sz w:val="24"/>
                <w:lang w:val="zh-TW" w:eastAsia="zh-TW"/>
              </w:rPr>
              <w:t>的</w:t>
            </w:r>
            <w:r>
              <w:rPr>
                <w:rFonts w:hint="eastAsia" w:ascii="宋体" w:hAnsi="宋体"/>
                <w:sz w:val="24"/>
                <w:lang w:val="zh-TW"/>
              </w:rPr>
              <w:t>理由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97E34">
            <w:pPr>
              <w:jc w:val="left"/>
              <w:rPr>
                <w:rFonts w:hint="eastAsia" w:ascii="宋体" w:hAnsi="宋体"/>
              </w:rPr>
            </w:pPr>
          </w:p>
          <w:p w14:paraId="27DB6AF5">
            <w:pPr>
              <w:jc w:val="left"/>
              <w:rPr>
                <w:rFonts w:hint="eastAsia" w:ascii="宋体" w:hAnsi="宋体"/>
              </w:rPr>
            </w:pPr>
          </w:p>
          <w:p w14:paraId="27A2F938">
            <w:pPr>
              <w:jc w:val="left"/>
              <w:rPr>
                <w:rFonts w:hint="eastAsia" w:ascii="宋体" w:hAnsi="宋体"/>
              </w:rPr>
            </w:pPr>
          </w:p>
          <w:p w14:paraId="323FA65F">
            <w:pPr>
              <w:jc w:val="left"/>
              <w:rPr>
                <w:rFonts w:hint="eastAsia" w:ascii="宋体" w:hAnsi="宋体"/>
              </w:rPr>
            </w:pPr>
          </w:p>
          <w:p w14:paraId="4EDE59DC">
            <w:pPr>
              <w:jc w:val="left"/>
              <w:rPr>
                <w:rFonts w:hint="eastAsia" w:ascii="宋体" w:hAnsi="宋体"/>
              </w:rPr>
            </w:pPr>
          </w:p>
          <w:p w14:paraId="432A3479">
            <w:pPr>
              <w:jc w:val="left"/>
              <w:rPr>
                <w:rFonts w:hint="eastAsia" w:ascii="宋体" w:hAnsi="宋体"/>
              </w:rPr>
            </w:pPr>
          </w:p>
        </w:tc>
      </w:tr>
      <w:tr w14:paraId="4A7A1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DA4F9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zh-TW" w:eastAsia="zh-TW"/>
              </w:rPr>
            </w:pPr>
            <w:r>
              <w:rPr>
                <w:rFonts w:hint="eastAsia" w:ascii="宋体" w:hAnsi="宋体"/>
                <w:sz w:val="24"/>
              </w:rPr>
              <w:t>各类</w:t>
            </w:r>
            <w:r>
              <w:rPr>
                <w:rFonts w:ascii="宋体" w:hAnsi="宋体"/>
                <w:sz w:val="24"/>
                <w:lang w:val="zh-TW" w:eastAsia="zh-TW"/>
              </w:rPr>
              <w:t>获奖情况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EAA85">
            <w:pPr>
              <w:jc w:val="left"/>
              <w:rPr>
                <w:rFonts w:hint="eastAsia" w:ascii="宋体" w:hAnsi="宋体"/>
              </w:rPr>
            </w:pPr>
          </w:p>
          <w:p w14:paraId="2A305D6D">
            <w:pPr>
              <w:jc w:val="left"/>
              <w:rPr>
                <w:rFonts w:hint="eastAsia" w:ascii="宋体" w:hAnsi="宋体"/>
              </w:rPr>
            </w:pPr>
          </w:p>
          <w:p w14:paraId="1C7CDF6A">
            <w:pPr>
              <w:jc w:val="left"/>
              <w:rPr>
                <w:rFonts w:hint="eastAsia" w:ascii="宋体" w:hAnsi="宋体"/>
              </w:rPr>
            </w:pPr>
          </w:p>
          <w:p w14:paraId="7D939D8D">
            <w:pPr>
              <w:jc w:val="left"/>
              <w:rPr>
                <w:rFonts w:hint="eastAsia" w:ascii="宋体" w:hAnsi="宋体"/>
              </w:rPr>
            </w:pPr>
          </w:p>
          <w:p w14:paraId="23102555">
            <w:pPr>
              <w:jc w:val="left"/>
              <w:rPr>
                <w:rFonts w:hint="eastAsia" w:ascii="宋体" w:hAnsi="宋体"/>
              </w:rPr>
            </w:pPr>
          </w:p>
          <w:p w14:paraId="3D74F224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</w:tc>
      </w:tr>
      <w:tr w14:paraId="6DC61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jc w:val="center"/>
        </w:trPr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B53D5">
            <w:pPr>
              <w:snapToGrid w:val="0"/>
              <w:ind w:firstLine="465"/>
              <w:jc w:val="left"/>
              <w:rPr>
                <w:rStyle w:val="8"/>
                <w:rFonts w:hint="eastAsia"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本人</w:t>
            </w:r>
            <w:r>
              <w:rPr>
                <w:rStyle w:val="8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8"/>
                <w:rFonts w:ascii="宋体" w:hAnsi="宋体"/>
                <w:sz w:val="24"/>
              </w:rPr>
              <w:t>已认真阅读</w:t>
            </w:r>
            <w:r>
              <w:rPr>
                <w:rStyle w:val="8"/>
                <w:rFonts w:hint="eastAsia" w:ascii="宋体" w:hAnsi="宋体"/>
                <w:sz w:val="24"/>
              </w:rPr>
              <w:t>微</w:t>
            </w:r>
            <w:r>
              <w:rPr>
                <w:rStyle w:val="8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3E4BE7CC">
            <w:pPr>
              <w:snapToGrid w:val="0"/>
              <w:ind w:firstLine="465"/>
              <w:jc w:val="left"/>
              <w:rPr>
                <w:rStyle w:val="8"/>
                <w:rFonts w:hint="eastAsia" w:ascii="宋体" w:hAnsi="宋体"/>
                <w:sz w:val="24"/>
              </w:rPr>
            </w:pPr>
          </w:p>
          <w:p w14:paraId="010859A6">
            <w:pPr>
              <w:snapToGrid w:val="0"/>
              <w:ind w:right="480" w:firstLine="6720" w:firstLineChars="2800"/>
              <w:rPr>
                <w:rStyle w:val="8"/>
                <w:rFonts w:hint="eastAsia"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 xml:space="preserve">学生签名： </w:t>
            </w:r>
          </w:p>
          <w:p w14:paraId="3863F54B">
            <w:pPr>
              <w:ind w:right="48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年   月   日</w:t>
            </w:r>
          </w:p>
        </w:tc>
      </w:tr>
    </w:tbl>
    <w:p w14:paraId="12555474">
      <w:pPr>
        <w:spacing w:line="360" w:lineRule="auto"/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备注：本表由微专业所在学院保存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p w14:paraId="399533B4">
      <w:pP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 w14:paraId="654E0575">
      <w:pPr>
        <w:spacing w:line="48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2502A3"/>
    <w:multiLevelType w:val="singleLevel"/>
    <w:tmpl w:val="B32502A3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jg2NzE0YTcyNTFmMTViNDgwM2YxYWI3Yjk1YjUifQ=="/>
  </w:docVars>
  <w:rsids>
    <w:rsidRoot w:val="3D8A3344"/>
    <w:rsid w:val="00055768"/>
    <w:rsid w:val="00174AE2"/>
    <w:rsid w:val="001E369F"/>
    <w:rsid w:val="00362326"/>
    <w:rsid w:val="00574FB5"/>
    <w:rsid w:val="005D6CB3"/>
    <w:rsid w:val="006262EC"/>
    <w:rsid w:val="00672EE0"/>
    <w:rsid w:val="00683C44"/>
    <w:rsid w:val="007123E3"/>
    <w:rsid w:val="00841039"/>
    <w:rsid w:val="00926DF4"/>
    <w:rsid w:val="0093393B"/>
    <w:rsid w:val="00AD4E93"/>
    <w:rsid w:val="00B65A64"/>
    <w:rsid w:val="00B82DD9"/>
    <w:rsid w:val="00CC4B6E"/>
    <w:rsid w:val="00CE2943"/>
    <w:rsid w:val="00D76A8D"/>
    <w:rsid w:val="00EC7862"/>
    <w:rsid w:val="00FA6D52"/>
    <w:rsid w:val="059515DF"/>
    <w:rsid w:val="08421E0D"/>
    <w:rsid w:val="0AB3379D"/>
    <w:rsid w:val="0D5E0D3B"/>
    <w:rsid w:val="0D9413FA"/>
    <w:rsid w:val="0F713B6E"/>
    <w:rsid w:val="12F46BB5"/>
    <w:rsid w:val="15166B25"/>
    <w:rsid w:val="15EE7A56"/>
    <w:rsid w:val="18407C27"/>
    <w:rsid w:val="19397563"/>
    <w:rsid w:val="1964601E"/>
    <w:rsid w:val="1CA078F9"/>
    <w:rsid w:val="1DB92FB6"/>
    <w:rsid w:val="207E43F5"/>
    <w:rsid w:val="287135C3"/>
    <w:rsid w:val="2ADD3068"/>
    <w:rsid w:val="33B6494D"/>
    <w:rsid w:val="341E3ACD"/>
    <w:rsid w:val="35980BD1"/>
    <w:rsid w:val="39243934"/>
    <w:rsid w:val="3B8D5C5A"/>
    <w:rsid w:val="3BDA429B"/>
    <w:rsid w:val="3D031AB2"/>
    <w:rsid w:val="3D18555E"/>
    <w:rsid w:val="3D8A3344"/>
    <w:rsid w:val="3E04774D"/>
    <w:rsid w:val="3F0C45A6"/>
    <w:rsid w:val="40B41B10"/>
    <w:rsid w:val="41504B07"/>
    <w:rsid w:val="423544BC"/>
    <w:rsid w:val="434D6494"/>
    <w:rsid w:val="43FE3201"/>
    <w:rsid w:val="449F6CAB"/>
    <w:rsid w:val="4D2E777B"/>
    <w:rsid w:val="4E9253A6"/>
    <w:rsid w:val="54295E4B"/>
    <w:rsid w:val="59434825"/>
    <w:rsid w:val="5A4243F6"/>
    <w:rsid w:val="5B0949E8"/>
    <w:rsid w:val="5D255D08"/>
    <w:rsid w:val="610B70DD"/>
    <w:rsid w:val="687C1C09"/>
    <w:rsid w:val="6A2E5C0F"/>
    <w:rsid w:val="6C395F3C"/>
    <w:rsid w:val="6F5F1DB2"/>
    <w:rsid w:val="7420471D"/>
    <w:rsid w:val="76077FA0"/>
    <w:rsid w:val="781D09E3"/>
    <w:rsid w:val="79241437"/>
    <w:rsid w:val="7E34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1329</Words>
  <Characters>1420</Characters>
  <Lines>10</Lines>
  <Paragraphs>2</Paragraphs>
  <TotalTime>0</TotalTime>
  <ScaleCrop>false</ScaleCrop>
  <LinksUpToDate>false</LinksUpToDate>
  <CharactersWithSpaces>1431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2024-12-11T01:56:00Z</dcterms:created>
  <dc:creator>lenovo</dc:creator>
  <cp:lastModifiedBy>黄新&amp;Mary</cp:lastModifiedBy>
  <dcterms:modified xsi:type="dcterms:W3CDTF">2025-09-17T06:01:47Z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B4BE719C08204C9695D3DA94D11795B4_13</vt:lpwstr>
  </property>
  <property fmtid="{D5CDD505-2E9C-101B-9397-08002B2CF9AE}" pid="4" name="KSOTemplateDocerSaveRecord">
    <vt:lpwstr>eyJoZGlkIjoiNTE4Yjg0OTVjOWE1NzZkNjE4ZjU5YTE4NmRkMzFiYjIiLCJ1c2VySWQiOiIxMTQxNTcxNTgyIn0=</vt:lpwstr>
  </property>
</Properties>
</file>